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bookmarkStart w:id="0" w:name="_GoBack"/>
      <w:bookmarkEnd w:id="0"/>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 xml:space="preserve">　</w:t>
      </w:r>
      <w:proofErr w:type="gramStart"/>
      <w:r w:rsidRPr="0036132B">
        <w:rPr>
          <w:rFonts w:ascii="微软雅黑" w:eastAsia="微软雅黑" w:hAnsi="微软雅黑" w:cs="宋体" w:hint="eastAsia"/>
          <w:b/>
          <w:bCs/>
          <w:color w:val="000000"/>
          <w:kern w:val="0"/>
          <w:sz w:val="27"/>
          <w:szCs w:val="27"/>
          <w:bdr w:val="none" w:sz="0" w:space="0" w:color="auto" w:frame="1"/>
        </w:rPr>
        <w:t>碳排放权</w:t>
      </w:r>
      <w:proofErr w:type="gramEnd"/>
      <w:r w:rsidRPr="0036132B">
        <w:rPr>
          <w:rFonts w:ascii="微软雅黑" w:eastAsia="微软雅黑" w:hAnsi="微软雅黑" w:cs="宋体" w:hint="eastAsia"/>
          <w:b/>
          <w:bCs/>
          <w:color w:val="000000"/>
          <w:kern w:val="0"/>
          <w:sz w:val="27"/>
          <w:szCs w:val="27"/>
          <w:bdr w:val="none" w:sz="0" w:space="0" w:color="auto" w:frame="1"/>
        </w:rPr>
        <w:t>交易管理办法</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b/>
          <w:bCs/>
          <w:color w:val="000000"/>
          <w:kern w:val="0"/>
          <w:sz w:val="27"/>
          <w:szCs w:val="27"/>
          <w:bdr w:val="none" w:sz="0" w:space="0" w:color="auto" w:frame="1"/>
        </w:rPr>
        <w:t xml:space="preserve">　　（试行）</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b/>
          <w:bCs/>
          <w:color w:val="000000"/>
          <w:kern w:val="0"/>
          <w:sz w:val="27"/>
          <w:szCs w:val="27"/>
          <w:bdr w:val="none" w:sz="0" w:space="0" w:color="auto" w:frame="1"/>
        </w:rPr>
        <w:t xml:space="preserve">　　第一章  总  则</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第一条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为落实党中央、国务院关于建设</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交易市场的决策部署，在应对气候变化和促进绿色低碳发展中充分发挥市场机制作用，推动温室气体减排，规范</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交易及相关活动，根据国家有关温室气体排放控制的要求，制定本办法。</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本办法适用于</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交易及相关活动，包括碳排放配额分配和清缴，</w:t>
      </w:r>
      <w:proofErr w:type="gramStart"/>
      <w:r w:rsidRPr="0036132B">
        <w:rPr>
          <w:rFonts w:ascii="微软雅黑" w:eastAsia="微软雅黑" w:hAnsi="微软雅黑" w:cs="宋体" w:hint="eastAsia"/>
          <w:color w:val="000000"/>
          <w:kern w:val="0"/>
          <w:sz w:val="27"/>
          <w:szCs w:val="27"/>
          <w:bdr w:val="none" w:sz="0" w:space="0" w:color="auto" w:frame="1"/>
        </w:rPr>
        <w:t>碳排放权</w:t>
      </w:r>
      <w:proofErr w:type="gramEnd"/>
      <w:r w:rsidRPr="0036132B">
        <w:rPr>
          <w:rFonts w:ascii="微软雅黑" w:eastAsia="微软雅黑" w:hAnsi="微软雅黑" w:cs="宋体" w:hint="eastAsia"/>
          <w:color w:val="000000"/>
          <w:kern w:val="0"/>
          <w:sz w:val="27"/>
          <w:szCs w:val="27"/>
          <w:bdr w:val="none" w:sz="0" w:space="0" w:color="auto" w:frame="1"/>
        </w:rPr>
        <w:t>登记、交易、结算，温室气体排放报告与核查等活动，以及对前述活动的监督管理。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交易及相关活动应当坚持市场导向、循序渐进、公平公开和诚实守信的原则。</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第四条</w:t>
      </w:r>
      <w:r w:rsidRPr="0036132B">
        <w:rPr>
          <w:rFonts w:ascii="微软雅黑" w:eastAsia="微软雅黑" w:hAnsi="微软雅黑" w:cs="宋体" w:hint="eastAsia"/>
          <w:color w:val="000000"/>
          <w:kern w:val="0"/>
          <w:sz w:val="27"/>
          <w:szCs w:val="27"/>
        </w:rPr>
        <w:t>  生态环境部按照国家有关规定建设</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交易市场。</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交易市场覆盖的温室气体种类和行业范围，由生态环境部拟订，按程序报批后实施，并向社会公开。</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第五条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生态环境部按照国家有关规定，组织建立</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交易机构，组织建设</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交易系统。</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注册登记机构通过</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注册登记系统，记录碳排放配额的持有、变更、清缴、注销等信息，并提供结算服务。</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注册登记系统记录的信息是判断碳排放配额归属的最终依据。</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交易机构负责组织开展</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集中统一交易。</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交易机构应当定期向生态环境部报告</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登记、交易、结算等活动和机构运行有关情况，以及应当报告的其他重大事项，并保证</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交易系统安全稳定可靠运行。</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第六条 </w:t>
      </w:r>
      <w:r w:rsidRPr="0036132B">
        <w:rPr>
          <w:rFonts w:ascii="微软雅黑" w:eastAsia="微软雅黑" w:hAnsi="微软雅黑" w:cs="宋体" w:hint="eastAsia"/>
          <w:color w:val="000000"/>
          <w:kern w:val="0"/>
          <w:sz w:val="27"/>
          <w:szCs w:val="27"/>
          <w:bdr w:val="none" w:sz="0" w:space="0" w:color="auto" w:frame="1"/>
        </w:rPr>
        <w:t> 生态环境部负责制定</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交易及相关活动的技术规范，加强对地方碳排放配额分配、温室气体排放报告与核查的监督管理，并会同国务院其他有关部门对</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交易及相关活动进行监督管理和指导。</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省级生态环境主管部门负责在本行政区域内组织开展碳排放配额分配和清缴、温室气体排放报告的核查等相关活动，并进行监督管理。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设区的市级生态环境主管部门负责配合省级生态环境主管部门落实相关具体工作，并根据本办法有关规定实施监督管理。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第七条</w:t>
      </w:r>
      <w:r w:rsidRPr="0036132B">
        <w:rPr>
          <w:rFonts w:ascii="微软雅黑" w:eastAsia="微软雅黑" w:hAnsi="微软雅黑" w:cs="宋体" w:hint="eastAsia"/>
          <w:color w:val="000000"/>
          <w:kern w:val="0"/>
          <w:sz w:val="27"/>
          <w:szCs w:val="27"/>
        </w:rPr>
        <w:t>  </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注册登记机构和</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交易机构及其工作人员，应当遵守</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交易及相关活动的技术规范，并遵守国家其他有关主管部门关于交易监管的规定。</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第二章  温室气体重点排放单位</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第八条</w:t>
      </w:r>
      <w:r w:rsidRPr="0036132B">
        <w:rPr>
          <w:rFonts w:ascii="微软雅黑" w:eastAsia="微软雅黑" w:hAnsi="微软雅黑" w:cs="宋体" w:hint="eastAsia"/>
          <w:color w:val="000000"/>
          <w:kern w:val="0"/>
          <w:sz w:val="27"/>
          <w:szCs w:val="27"/>
        </w:rPr>
        <w:t>  温室气体排放单位符合下列条件的，应当列入温室气体重点排放单位（以下简称重点排放单位）名录：</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（一）属于</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交易市场覆盖行业；</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（二）年度温室气体排放量达到2.6万吨二氧化碳当量。</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第九条</w:t>
      </w:r>
      <w:r w:rsidRPr="0036132B">
        <w:rPr>
          <w:rFonts w:ascii="微软雅黑" w:eastAsia="微软雅黑" w:hAnsi="微软雅黑" w:cs="宋体" w:hint="eastAsia"/>
          <w:color w:val="000000"/>
          <w:kern w:val="0"/>
          <w:sz w:val="27"/>
          <w:szCs w:val="27"/>
        </w:rPr>
        <w:t>  省级生态环境主管部门应当按照生态环境部的有关规定，确定本行政区域重点排放单位名录，向生态环境部报告，并向社会公开。</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b/>
          <w:bCs/>
          <w:color w:val="000000"/>
          <w:kern w:val="0"/>
          <w:sz w:val="27"/>
          <w:szCs w:val="27"/>
          <w:bdr w:val="none" w:sz="0" w:space="0" w:color="auto" w:frame="1"/>
        </w:rPr>
        <w:t>第十条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重点排放单位应当控制温室气体排放，报告碳排放数据，清缴碳排放配额，公开交易及相关活动信息，并接受生态环境主管部门的监督管理。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第十一条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存在下列情形之一的，确定名录的省级生态环境主管部门应当将相关温室气体排放单位从重点排放单位名录中移出：</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（一）连续二年温室气体排放未达到2.6万吨二氧化碳当量的；</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（二）因停业、关闭或者其他原因不再从事生产经营活动，因而不再排放温室气体的。</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第十二条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温室气体排放单位申请纳入重点排放单位名录的，确定名录的省级生态环境主管部门应当进行核实；经核实符合本办法第八条规定条件的，应当将其纳入重点排放单位名录。</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第十三条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纳入</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交易市场的重点排放单位，不再参与</w:t>
      </w:r>
      <w:proofErr w:type="gramStart"/>
      <w:r w:rsidRPr="0036132B">
        <w:rPr>
          <w:rFonts w:ascii="微软雅黑" w:eastAsia="微软雅黑" w:hAnsi="微软雅黑" w:cs="宋体" w:hint="eastAsia"/>
          <w:color w:val="000000"/>
          <w:kern w:val="0"/>
          <w:sz w:val="27"/>
          <w:szCs w:val="27"/>
          <w:bdr w:val="none" w:sz="0" w:space="0" w:color="auto" w:frame="1"/>
        </w:rPr>
        <w:t>地方碳排放权</w:t>
      </w:r>
      <w:proofErr w:type="gramEnd"/>
      <w:r w:rsidRPr="0036132B">
        <w:rPr>
          <w:rFonts w:ascii="微软雅黑" w:eastAsia="微软雅黑" w:hAnsi="微软雅黑" w:cs="宋体" w:hint="eastAsia"/>
          <w:color w:val="000000"/>
          <w:kern w:val="0"/>
          <w:sz w:val="27"/>
          <w:szCs w:val="27"/>
          <w:bdr w:val="none" w:sz="0" w:space="0" w:color="auto" w:frame="1"/>
        </w:rPr>
        <w:t>交易试点市场。</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第三章  分配与登记</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第十四条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生态环境部根据国家温室气体排放控制要求，综合考虑经济增长、产业结构调整、能源结构优化、大气污染物排放协同控制等因素，制定碳排放配额总量确定与分配方案。</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省级生态环境主管部门应当根据生态环境部制定的碳排放配额总量确定与分配方案，向本行政区域内的重点排放单位分配规定年度的碳排放配额。</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第十五条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碳排放配额分配以免费分配为主，可以根据国家有关要求适时引入有偿分配。</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b/>
          <w:bCs/>
          <w:color w:val="000000"/>
          <w:kern w:val="0"/>
          <w:sz w:val="27"/>
          <w:szCs w:val="27"/>
          <w:bdr w:val="none" w:sz="0" w:space="0" w:color="auto" w:frame="1"/>
        </w:rPr>
        <w:t>第十六条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省级生态环境主管部门确定碳排放配额后，应当书面通知重点排放单位。 </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重点排放单位对分配的碳排放配额有异议的，可以自接到通知之日起七个工作日内，向分配配额的省级生态环境主管部门申请复核；省级生态环境主管部门应当自接到复核申请之日起十个工作日内，</w:t>
      </w:r>
      <w:proofErr w:type="gramStart"/>
      <w:r w:rsidRPr="0036132B">
        <w:rPr>
          <w:rFonts w:ascii="微软雅黑" w:eastAsia="微软雅黑" w:hAnsi="微软雅黑" w:cs="宋体" w:hint="eastAsia"/>
          <w:color w:val="000000"/>
          <w:kern w:val="0"/>
          <w:sz w:val="27"/>
          <w:szCs w:val="27"/>
          <w:bdr w:val="none" w:sz="0" w:space="0" w:color="auto" w:frame="1"/>
        </w:rPr>
        <w:t>作出</w:t>
      </w:r>
      <w:proofErr w:type="gramEnd"/>
      <w:r w:rsidRPr="0036132B">
        <w:rPr>
          <w:rFonts w:ascii="微软雅黑" w:eastAsia="微软雅黑" w:hAnsi="微软雅黑" w:cs="宋体" w:hint="eastAsia"/>
          <w:color w:val="000000"/>
          <w:kern w:val="0"/>
          <w:sz w:val="27"/>
          <w:szCs w:val="27"/>
          <w:bdr w:val="none" w:sz="0" w:space="0" w:color="auto" w:frame="1"/>
        </w:rPr>
        <w:t>复核决定。</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第十七条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重点排放单位应当在</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注册登记系统开立账户，进行相关业务操作。</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第十八条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重点排放单位发生合并、分立等情形需要变更单位名称、碳排放配额等事项的，应当报经所在地省级生态环境主管部门审核后，向</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注册登记机构申请变更登记。</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注册登记机构应当通过</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注册登记系统进行变更登记，并向社会公开。</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第十九条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国家鼓励重点排放单位、机构和个人，出于减少温室气体排放等公益目的自愿注销其所持有的碳排放配额。</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自愿注销的碳排放配额，在国家碳排放配额总量中予以等量核减，不再进行分配、登记或者交易。相关注销情况应当向社会公开。</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 xml:space="preserve">　第四章  排放交易</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第二十条</w:t>
      </w:r>
      <w:r w:rsidRPr="0036132B">
        <w:rPr>
          <w:rFonts w:ascii="微软雅黑" w:eastAsia="微软雅黑" w:hAnsi="微软雅黑" w:cs="宋体" w:hint="eastAsia"/>
          <w:color w:val="000000"/>
          <w:kern w:val="0"/>
          <w:sz w:val="27"/>
          <w:szCs w:val="27"/>
        </w:rPr>
        <w:t>  </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交易市场的交易产品为碳排放配额，生态环境部可以根据国家有关规定适时增加其他交易产品。</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第二十一条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重点排放单位以及符合国家有关交易规则的机构和个人，是</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交易市场的交易主体。</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b/>
          <w:bCs/>
          <w:color w:val="000000"/>
          <w:kern w:val="0"/>
          <w:sz w:val="27"/>
          <w:szCs w:val="27"/>
          <w:bdr w:val="none" w:sz="0" w:space="0" w:color="auto" w:frame="1"/>
        </w:rPr>
        <w:t>第二十二条</w:t>
      </w:r>
      <w:r w:rsidRPr="0036132B">
        <w:rPr>
          <w:rFonts w:ascii="微软雅黑" w:eastAsia="微软雅黑" w:hAnsi="微软雅黑" w:cs="宋体" w:hint="eastAsia"/>
          <w:color w:val="000000"/>
          <w:kern w:val="0"/>
          <w:sz w:val="27"/>
          <w:szCs w:val="27"/>
        </w:rPr>
        <w:t> </w:t>
      </w:r>
      <w:proofErr w:type="gramStart"/>
      <w:r w:rsidRPr="0036132B">
        <w:rPr>
          <w:rFonts w:ascii="微软雅黑" w:eastAsia="微软雅黑" w:hAnsi="微软雅黑" w:cs="宋体" w:hint="eastAsia"/>
          <w:color w:val="000000"/>
          <w:kern w:val="0"/>
          <w:sz w:val="27"/>
          <w:szCs w:val="27"/>
          <w:bdr w:val="none" w:sz="0" w:space="0" w:color="auto" w:frame="1"/>
        </w:rPr>
        <w:t> 碳排放权</w:t>
      </w:r>
      <w:proofErr w:type="gramEnd"/>
      <w:r w:rsidRPr="0036132B">
        <w:rPr>
          <w:rFonts w:ascii="微软雅黑" w:eastAsia="微软雅黑" w:hAnsi="微软雅黑" w:cs="宋体" w:hint="eastAsia"/>
          <w:color w:val="000000"/>
          <w:kern w:val="0"/>
          <w:sz w:val="27"/>
          <w:szCs w:val="27"/>
          <w:bdr w:val="none" w:sz="0" w:space="0" w:color="auto" w:frame="1"/>
        </w:rPr>
        <w:t>交易应当通过</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交易系统进行，可以采取协议转让、单向竞价或者其他符合规定的方式。</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交易机构应当按照生态环境部有关规定，采取有效措施，发挥</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交易市场引导温室气体减排的作用，防止过度投机的交易行为，维护市场健康发展。</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第二十三条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注册登记机构应当根据</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交易机构提供的成交结果，通过</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注册登记系统为交易主体及时更新相关信息。</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第二十四条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交易机构应当按照国家有关规定，实现数据及时、准确、安全交换。</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第五章  排放核查与配额清缴</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第二十五条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重点排放单位应当根据生态环境部制定的温室气体排放核算与报告技术规范，编制该单位上一年度的温室气体排放报告，载明排放量，并于每年3月31日前</w:t>
      </w:r>
      <w:proofErr w:type="gramStart"/>
      <w:r w:rsidRPr="0036132B">
        <w:rPr>
          <w:rFonts w:ascii="微软雅黑" w:eastAsia="微软雅黑" w:hAnsi="微软雅黑" w:cs="宋体" w:hint="eastAsia"/>
          <w:color w:val="000000"/>
          <w:kern w:val="0"/>
          <w:sz w:val="27"/>
          <w:szCs w:val="27"/>
          <w:bdr w:val="none" w:sz="0" w:space="0" w:color="auto" w:frame="1"/>
        </w:rPr>
        <w:t>报生产</w:t>
      </w:r>
      <w:proofErr w:type="gramEnd"/>
      <w:r w:rsidRPr="0036132B">
        <w:rPr>
          <w:rFonts w:ascii="微软雅黑" w:eastAsia="微软雅黑" w:hAnsi="微软雅黑" w:cs="宋体" w:hint="eastAsia"/>
          <w:color w:val="000000"/>
          <w:kern w:val="0"/>
          <w:sz w:val="27"/>
          <w:szCs w:val="27"/>
          <w:bdr w:val="none" w:sz="0" w:space="0" w:color="auto" w:frame="1"/>
        </w:rPr>
        <w:t>经营场所所在地的省级生态环境主管部门。排放报告所涉数据的原始记录和管理台</w:t>
      </w:r>
      <w:proofErr w:type="gramStart"/>
      <w:r w:rsidRPr="0036132B">
        <w:rPr>
          <w:rFonts w:ascii="微软雅黑" w:eastAsia="微软雅黑" w:hAnsi="微软雅黑" w:cs="宋体" w:hint="eastAsia"/>
          <w:color w:val="000000"/>
          <w:kern w:val="0"/>
          <w:sz w:val="27"/>
          <w:szCs w:val="27"/>
          <w:bdr w:val="none" w:sz="0" w:space="0" w:color="auto" w:frame="1"/>
        </w:rPr>
        <w:t>账应当</w:t>
      </w:r>
      <w:proofErr w:type="gramEnd"/>
      <w:r w:rsidRPr="0036132B">
        <w:rPr>
          <w:rFonts w:ascii="微软雅黑" w:eastAsia="微软雅黑" w:hAnsi="微软雅黑" w:cs="宋体" w:hint="eastAsia"/>
          <w:color w:val="000000"/>
          <w:kern w:val="0"/>
          <w:sz w:val="27"/>
          <w:szCs w:val="27"/>
          <w:bdr w:val="none" w:sz="0" w:space="0" w:color="auto" w:frame="1"/>
        </w:rPr>
        <w:t>至少保存五年。</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重点排放单位对温室气体排放报告的真实性、完整性、准确性负责。</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重点排放单位编制的年度温室气体排放报告应当定期公开，接受社会监督，涉及国家秘密和商业秘密的除外。</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第二十六条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省级生态环境主管部门应当组织开展对重点排放单位温室气体排放报告的核查，并将核查结果告知重点排放单位。核查结果应当作为重点排放单位碳排放配额清缴依据。</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color w:val="000000"/>
          <w:kern w:val="0"/>
          <w:sz w:val="27"/>
          <w:szCs w:val="27"/>
          <w:bdr w:val="none" w:sz="0" w:space="0" w:color="auto" w:frame="1"/>
        </w:rPr>
        <w:t>省级生态环境主管部门可以通过政府购买服务的方式委托技术服务机构提供核查服务。技术服务机构应当对提交的核查结果的真实性、完整性和准确性负责。</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第二十七条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重点排放单位对核查结果有异议的，可以自被告知核查结果之日起七个工作日内，向组织核查的省级生态环境主管部门申请复核；省级生态环境主管部门应当自接到复核申请之日起十个工作日内，</w:t>
      </w:r>
      <w:proofErr w:type="gramStart"/>
      <w:r w:rsidRPr="0036132B">
        <w:rPr>
          <w:rFonts w:ascii="微软雅黑" w:eastAsia="微软雅黑" w:hAnsi="微软雅黑" w:cs="宋体" w:hint="eastAsia"/>
          <w:color w:val="000000"/>
          <w:kern w:val="0"/>
          <w:sz w:val="27"/>
          <w:szCs w:val="27"/>
          <w:bdr w:val="none" w:sz="0" w:space="0" w:color="auto" w:frame="1"/>
        </w:rPr>
        <w:t>作出</w:t>
      </w:r>
      <w:proofErr w:type="gramEnd"/>
      <w:r w:rsidRPr="0036132B">
        <w:rPr>
          <w:rFonts w:ascii="微软雅黑" w:eastAsia="微软雅黑" w:hAnsi="微软雅黑" w:cs="宋体" w:hint="eastAsia"/>
          <w:color w:val="000000"/>
          <w:kern w:val="0"/>
          <w:sz w:val="27"/>
          <w:szCs w:val="27"/>
          <w:bdr w:val="none" w:sz="0" w:space="0" w:color="auto" w:frame="1"/>
        </w:rPr>
        <w:t>复核决定。</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第二十八条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重点排放单位应当在生态环境部规定的时限内，向分配配额的省级生态环境主管部门清缴上年度的碳排放配额。清缴量应当大于等于省级生态环境主管部门核查结果确认的该单位上年度温室气体实际排放量。</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第二十九条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重点排放单位每年可以使用国家核证自愿减排量</w:t>
      </w:r>
      <w:proofErr w:type="gramStart"/>
      <w:r w:rsidRPr="0036132B">
        <w:rPr>
          <w:rFonts w:ascii="微软雅黑" w:eastAsia="微软雅黑" w:hAnsi="微软雅黑" w:cs="宋体" w:hint="eastAsia"/>
          <w:color w:val="000000"/>
          <w:kern w:val="0"/>
          <w:sz w:val="27"/>
          <w:szCs w:val="27"/>
          <w:bdr w:val="none" w:sz="0" w:space="0" w:color="auto" w:frame="1"/>
        </w:rPr>
        <w:t>抵销</w:t>
      </w:r>
      <w:proofErr w:type="gramEnd"/>
      <w:r w:rsidRPr="0036132B">
        <w:rPr>
          <w:rFonts w:ascii="微软雅黑" w:eastAsia="微软雅黑" w:hAnsi="微软雅黑" w:cs="宋体" w:hint="eastAsia"/>
          <w:color w:val="000000"/>
          <w:kern w:val="0"/>
          <w:sz w:val="27"/>
          <w:szCs w:val="27"/>
          <w:bdr w:val="none" w:sz="0" w:space="0" w:color="auto" w:frame="1"/>
        </w:rPr>
        <w:t>碳排放配额的清缴，</w:t>
      </w:r>
      <w:proofErr w:type="gramStart"/>
      <w:r w:rsidRPr="0036132B">
        <w:rPr>
          <w:rFonts w:ascii="微软雅黑" w:eastAsia="微软雅黑" w:hAnsi="微软雅黑" w:cs="宋体" w:hint="eastAsia"/>
          <w:color w:val="000000"/>
          <w:kern w:val="0"/>
          <w:sz w:val="27"/>
          <w:szCs w:val="27"/>
          <w:bdr w:val="none" w:sz="0" w:space="0" w:color="auto" w:frame="1"/>
        </w:rPr>
        <w:t>抵销</w:t>
      </w:r>
      <w:proofErr w:type="gramEnd"/>
      <w:r w:rsidRPr="0036132B">
        <w:rPr>
          <w:rFonts w:ascii="微软雅黑" w:eastAsia="微软雅黑" w:hAnsi="微软雅黑" w:cs="宋体" w:hint="eastAsia"/>
          <w:color w:val="000000"/>
          <w:kern w:val="0"/>
          <w:sz w:val="27"/>
          <w:szCs w:val="27"/>
          <w:bdr w:val="none" w:sz="0" w:space="0" w:color="auto" w:frame="1"/>
        </w:rPr>
        <w:t>比例不得超过应清缴碳排放配额的5%。相关规定由生态环境部另行制定。</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用于</w:t>
      </w:r>
      <w:proofErr w:type="gramStart"/>
      <w:r w:rsidRPr="0036132B">
        <w:rPr>
          <w:rFonts w:ascii="微软雅黑" w:eastAsia="微软雅黑" w:hAnsi="微软雅黑" w:cs="宋体" w:hint="eastAsia"/>
          <w:color w:val="000000"/>
          <w:kern w:val="0"/>
          <w:sz w:val="27"/>
          <w:szCs w:val="27"/>
          <w:bdr w:val="none" w:sz="0" w:space="0" w:color="auto" w:frame="1"/>
        </w:rPr>
        <w:t>抵销</w:t>
      </w:r>
      <w:proofErr w:type="gramEnd"/>
      <w:r w:rsidRPr="0036132B">
        <w:rPr>
          <w:rFonts w:ascii="微软雅黑" w:eastAsia="微软雅黑" w:hAnsi="微软雅黑" w:cs="宋体" w:hint="eastAsia"/>
          <w:color w:val="000000"/>
          <w:kern w:val="0"/>
          <w:sz w:val="27"/>
          <w:szCs w:val="27"/>
          <w:bdr w:val="none" w:sz="0" w:space="0" w:color="auto" w:frame="1"/>
        </w:rPr>
        <w:t>的国家核证自愿减排量，不得来自纳入</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交易市场配额管理的减排项目。</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第六章  监督管理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上级生态环境主管部门应当加强对下级生态环境主管部门的重点排放单位名录确定、</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交易及相关活动情况的监督检查和指导。</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第三十一条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设区的市级以上地方生态环境主管部门根据对重点排放单位温室气体排放报告的核查结果，确定监督检查重点和频次。</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color w:val="000000"/>
          <w:kern w:val="0"/>
          <w:sz w:val="27"/>
          <w:szCs w:val="27"/>
          <w:bdr w:val="none" w:sz="0" w:space="0" w:color="auto" w:frame="1"/>
        </w:rPr>
        <w:t>设区的市级以上地方生态环境主管部门应当采取“双随机、</w:t>
      </w:r>
      <w:proofErr w:type="gramStart"/>
      <w:r w:rsidRPr="0036132B">
        <w:rPr>
          <w:rFonts w:ascii="微软雅黑" w:eastAsia="微软雅黑" w:hAnsi="微软雅黑" w:cs="宋体" w:hint="eastAsia"/>
          <w:color w:val="000000"/>
          <w:kern w:val="0"/>
          <w:sz w:val="27"/>
          <w:szCs w:val="27"/>
          <w:bdr w:val="none" w:sz="0" w:space="0" w:color="auto" w:frame="1"/>
        </w:rPr>
        <w:t>一</w:t>
      </w:r>
      <w:proofErr w:type="gramEnd"/>
      <w:r w:rsidRPr="0036132B">
        <w:rPr>
          <w:rFonts w:ascii="微软雅黑" w:eastAsia="微软雅黑" w:hAnsi="微软雅黑" w:cs="宋体" w:hint="eastAsia"/>
          <w:color w:val="000000"/>
          <w:kern w:val="0"/>
          <w:sz w:val="27"/>
          <w:szCs w:val="27"/>
          <w:bdr w:val="none" w:sz="0" w:space="0" w:color="auto" w:frame="1"/>
        </w:rPr>
        <w:t>公开”的方式，监督检查重点排放单位温室气体排放和</w:t>
      </w:r>
      <w:proofErr w:type="gramStart"/>
      <w:r w:rsidRPr="0036132B">
        <w:rPr>
          <w:rFonts w:ascii="微软雅黑" w:eastAsia="微软雅黑" w:hAnsi="微软雅黑" w:cs="宋体" w:hint="eastAsia"/>
          <w:color w:val="000000"/>
          <w:kern w:val="0"/>
          <w:sz w:val="27"/>
          <w:szCs w:val="27"/>
          <w:bdr w:val="none" w:sz="0" w:space="0" w:color="auto" w:frame="1"/>
        </w:rPr>
        <w:t>碳排放</w:t>
      </w:r>
      <w:proofErr w:type="gramEnd"/>
      <w:r w:rsidRPr="0036132B">
        <w:rPr>
          <w:rFonts w:ascii="微软雅黑" w:eastAsia="微软雅黑" w:hAnsi="微软雅黑" w:cs="宋体" w:hint="eastAsia"/>
          <w:color w:val="000000"/>
          <w:kern w:val="0"/>
          <w:sz w:val="27"/>
          <w:szCs w:val="27"/>
          <w:bdr w:val="none" w:sz="0" w:space="0" w:color="auto" w:frame="1"/>
        </w:rPr>
        <w:t>配额清缴情况，相关情况按程序报生态环境部。</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第三十二条</w:t>
      </w:r>
      <w:r w:rsidRPr="0036132B">
        <w:rPr>
          <w:rFonts w:ascii="微软雅黑" w:eastAsia="微软雅黑" w:hAnsi="微软雅黑" w:cs="宋体" w:hint="eastAsia"/>
          <w:color w:val="000000"/>
          <w:kern w:val="0"/>
          <w:sz w:val="27"/>
          <w:szCs w:val="27"/>
        </w:rPr>
        <w:t>  生态环境部和省级生态环境主管部门，应当按照职责分工，定期公开重点排放单位年度碳排放配额清缴情况等信息。</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第三十三条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交易机构应当遵守国家交易监管等相关规定，建立风险管理机制和信息披露制度，制定风险管理预案，及时</w:t>
      </w:r>
      <w:proofErr w:type="gramStart"/>
      <w:r w:rsidRPr="0036132B">
        <w:rPr>
          <w:rFonts w:ascii="微软雅黑" w:eastAsia="微软雅黑" w:hAnsi="微软雅黑" w:cs="宋体" w:hint="eastAsia"/>
          <w:color w:val="000000"/>
          <w:kern w:val="0"/>
          <w:sz w:val="27"/>
          <w:szCs w:val="27"/>
          <w:bdr w:val="none" w:sz="0" w:space="0" w:color="auto" w:frame="1"/>
        </w:rPr>
        <w:t>公布碳排放权</w:t>
      </w:r>
      <w:proofErr w:type="gramEnd"/>
      <w:r w:rsidRPr="0036132B">
        <w:rPr>
          <w:rFonts w:ascii="微软雅黑" w:eastAsia="微软雅黑" w:hAnsi="微软雅黑" w:cs="宋体" w:hint="eastAsia"/>
          <w:color w:val="000000"/>
          <w:kern w:val="0"/>
          <w:sz w:val="27"/>
          <w:szCs w:val="27"/>
          <w:bdr w:val="none" w:sz="0" w:space="0" w:color="auto" w:frame="1"/>
        </w:rPr>
        <w:t>登记、交易、结算等信息。</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交易机构的工作人员不得利用职务便利谋取不正当利益，不得泄露商业秘密。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第三十四条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交易主体违反本办法</w:t>
      </w:r>
      <w:proofErr w:type="gramStart"/>
      <w:r w:rsidRPr="0036132B">
        <w:rPr>
          <w:rFonts w:ascii="微软雅黑" w:eastAsia="微软雅黑" w:hAnsi="微软雅黑" w:cs="宋体" w:hint="eastAsia"/>
          <w:color w:val="000000"/>
          <w:kern w:val="0"/>
          <w:sz w:val="27"/>
          <w:szCs w:val="27"/>
          <w:bdr w:val="none" w:sz="0" w:space="0" w:color="auto" w:frame="1"/>
        </w:rPr>
        <w:t>关于碳排放权</w:t>
      </w:r>
      <w:proofErr w:type="gramEnd"/>
      <w:r w:rsidRPr="0036132B">
        <w:rPr>
          <w:rFonts w:ascii="微软雅黑" w:eastAsia="微软雅黑" w:hAnsi="微软雅黑" w:cs="宋体" w:hint="eastAsia"/>
          <w:color w:val="000000"/>
          <w:kern w:val="0"/>
          <w:sz w:val="27"/>
          <w:szCs w:val="27"/>
          <w:bdr w:val="none" w:sz="0" w:space="0" w:color="auto" w:frame="1"/>
        </w:rPr>
        <w:t>注册登记、结算或者交易相关规定的，</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交易机构可以按照国家有关规定，对其采取限制交易措施。</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第三十五条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鼓励公众、新闻媒体等对重点排放单位和其他交易主体</w:t>
      </w:r>
      <w:proofErr w:type="gramStart"/>
      <w:r w:rsidRPr="0036132B">
        <w:rPr>
          <w:rFonts w:ascii="微软雅黑" w:eastAsia="微软雅黑" w:hAnsi="微软雅黑" w:cs="宋体" w:hint="eastAsia"/>
          <w:color w:val="000000"/>
          <w:kern w:val="0"/>
          <w:sz w:val="27"/>
          <w:szCs w:val="27"/>
          <w:bdr w:val="none" w:sz="0" w:space="0" w:color="auto" w:frame="1"/>
        </w:rPr>
        <w:t>的碳排放权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交易及相关活动进行监督。</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重点排放单位和其他交易主体应当按照生态环境部有关规定，及时公开有关</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交易及相关活动信息，自觉接受公众监督。</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第三十六条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公民、法人和其他组织发现重点排放单位和其他交易主体有违反本办法规定行为的，有权向设区的市级以上地方生态环境主管部门举报。</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接受举报的生态环境主管部门应当依法予以处理，并按照有关规定反馈处理结果，同时为举报人保密。</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lastRenderedPageBreak/>
        <w:t xml:space="preserve">　　</w:t>
      </w:r>
      <w:r w:rsidRPr="0036132B">
        <w:rPr>
          <w:rFonts w:ascii="微软雅黑" w:eastAsia="微软雅黑" w:hAnsi="微软雅黑" w:cs="宋体" w:hint="eastAsia"/>
          <w:b/>
          <w:bCs/>
          <w:color w:val="000000"/>
          <w:kern w:val="0"/>
          <w:sz w:val="27"/>
          <w:szCs w:val="27"/>
          <w:bdr w:val="none" w:sz="0" w:space="0" w:color="auto" w:frame="1"/>
        </w:rPr>
        <w:t>第七章  罚  则</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第三十七条</w:t>
      </w:r>
      <w:r w:rsidRPr="0036132B">
        <w:rPr>
          <w:rFonts w:ascii="微软雅黑" w:eastAsia="微软雅黑" w:hAnsi="微软雅黑" w:cs="宋体" w:hint="eastAsia"/>
          <w:color w:val="000000"/>
          <w:kern w:val="0"/>
          <w:sz w:val="27"/>
          <w:szCs w:val="27"/>
        </w:rPr>
        <w:t>  生态环境部、省级生态环境主管部门、设区的市级生态环境主管部门的有关工作人员，在</w:t>
      </w:r>
      <w:proofErr w:type="gramStart"/>
      <w:r w:rsidRPr="0036132B">
        <w:rPr>
          <w:rFonts w:ascii="微软雅黑" w:eastAsia="微软雅黑" w:hAnsi="微软雅黑" w:cs="宋体" w:hint="eastAsia"/>
          <w:color w:val="000000"/>
          <w:kern w:val="0"/>
          <w:sz w:val="27"/>
          <w:szCs w:val="27"/>
        </w:rPr>
        <w:t>全国碳排放权</w:t>
      </w:r>
      <w:proofErr w:type="gramEnd"/>
      <w:r w:rsidRPr="0036132B">
        <w:rPr>
          <w:rFonts w:ascii="微软雅黑" w:eastAsia="微软雅黑" w:hAnsi="微软雅黑" w:cs="宋体" w:hint="eastAsia"/>
          <w:color w:val="000000"/>
          <w:kern w:val="0"/>
          <w:sz w:val="27"/>
          <w:szCs w:val="27"/>
        </w:rPr>
        <w:t>交易及相关活动的监督管理中滥用职权、玩忽职守、徇私舞弊的，由其上级行政机关或者监察机关责令改正，并依法给予处分。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第三十八条</w:t>
      </w:r>
      <w:r w:rsidRPr="0036132B">
        <w:rPr>
          <w:rFonts w:ascii="微软雅黑" w:eastAsia="微软雅黑" w:hAnsi="微软雅黑" w:cs="宋体" w:hint="eastAsia"/>
          <w:color w:val="000000"/>
          <w:kern w:val="0"/>
          <w:sz w:val="27"/>
          <w:szCs w:val="27"/>
        </w:rPr>
        <w:t>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交易机构及其工作人员违反本办法规定，有下列行为之一的，由生态环境部依法给予处分，并向社会公开处理结果：</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（一）利用职务便利谋取不正当利益的；</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（二）有其他滥用职权、玩忽职守、徇私舞弊行为的。</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注册登记机构和</w:t>
      </w:r>
      <w:proofErr w:type="gramStart"/>
      <w:r w:rsidRPr="0036132B">
        <w:rPr>
          <w:rFonts w:ascii="微软雅黑" w:eastAsia="微软雅黑" w:hAnsi="微软雅黑" w:cs="宋体" w:hint="eastAsia"/>
          <w:color w:val="000000"/>
          <w:kern w:val="0"/>
          <w:sz w:val="27"/>
          <w:szCs w:val="27"/>
          <w:bdr w:val="none" w:sz="0" w:space="0" w:color="auto" w:frame="1"/>
        </w:rPr>
        <w:t>全国碳排放权</w:t>
      </w:r>
      <w:proofErr w:type="gramEnd"/>
      <w:r w:rsidRPr="0036132B">
        <w:rPr>
          <w:rFonts w:ascii="微软雅黑" w:eastAsia="微软雅黑" w:hAnsi="微软雅黑" w:cs="宋体" w:hint="eastAsia"/>
          <w:color w:val="000000"/>
          <w:kern w:val="0"/>
          <w:sz w:val="27"/>
          <w:szCs w:val="27"/>
          <w:bdr w:val="none" w:sz="0" w:space="0" w:color="auto" w:frame="1"/>
        </w:rPr>
        <w:t>交易机构及其工作人员违反本办法规定，泄露有关商业秘密或者有构成其他违反国家交易监管规定行为的，依照其他有关规定处理。</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第三十九条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第四十条</w:t>
      </w:r>
      <w:r w:rsidRPr="0036132B">
        <w:rPr>
          <w:rFonts w:ascii="微软雅黑" w:eastAsia="微软雅黑" w:hAnsi="微软雅黑" w:cs="宋体" w:hint="eastAsia"/>
          <w:color w:val="000000"/>
          <w:kern w:val="0"/>
          <w:sz w:val="27"/>
          <w:szCs w:val="27"/>
        </w:rPr>
        <w:t>  重点排放单位未按时足额清缴碳排放配额的，由其生产经营场所所在地设区的市级以上地方生态环境主管部门责令限期改正，处二万元以上三万元以下的罚款；逾期未改正的，对欠缴部分，由重点</w:t>
      </w:r>
      <w:r w:rsidRPr="0036132B">
        <w:rPr>
          <w:rFonts w:ascii="微软雅黑" w:eastAsia="微软雅黑" w:hAnsi="微软雅黑" w:cs="宋体" w:hint="eastAsia"/>
          <w:color w:val="000000"/>
          <w:kern w:val="0"/>
          <w:sz w:val="27"/>
          <w:szCs w:val="27"/>
        </w:rPr>
        <w:lastRenderedPageBreak/>
        <w:t>排放单位生产经营场所所在地的省级生态环境主管部门等量核减其下一年度碳排放配额。</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第四十一条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违反本办法规定，涉嫌构成犯罪的，有关生态环境主管部门应当依法移送司法机关。</w:t>
      </w:r>
      <w:r w:rsidRPr="0036132B">
        <w:rPr>
          <w:rFonts w:ascii="微软雅黑" w:eastAsia="微软雅黑" w:hAnsi="微软雅黑" w:cs="宋体" w:hint="eastAsia"/>
          <w:color w:val="000000"/>
          <w:kern w:val="0"/>
          <w:sz w:val="27"/>
          <w:szCs w:val="27"/>
        </w:rPr>
        <w:t> </w:t>
      </w:r>
    </w:p>
    <w:p w:rsidR="0036132B" w:rsidRPr="0036132B" w:rsidRDefault="0036132B" w:rsidP="0036132B">
      <w:pPr>
        <w:widowControl/>
        <w:shd w:val="clear" w:color="auto" w:fill="FFFFFF"/>
        <w:spacing w:line="540" w:lineRule="atLeast"/>
        <w:jc w:val="center"/>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第八章  附  则</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第四十二条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 本办法中下列用语的含义：</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（一）温室气体：是指大气中吸收和重新放出红外辐射的自然和人为的气态成分，包括二氧化碳（CO</w:t>
      </w:r>
      <w:r w:rsidRPr="0036132B">
        <w:rPr>
          <w:rFonts w:ascii="微软雅黑" w:eastAsia="微软雅黑" w:hAnsi="微软雅黑" w:cs="宋体" w:hint="eastAsia"/>
          <w:color w:val="000000"/>
          <w:kern w:val="0"/>
          <w:sz w:val="27"/>
          <w:szCs w:val="27"/>
          <w:bdr w:val="none" w:sz="0" w:space="0" w:color="auto" w:frame="1"/>
          <w:vertAlign w:val="subscript"/>
        </w:rPr>
        <w:t>2</w:t>
      </w:r>
      <w:r w:rsidRPr="0036132B">
        <w:rPr>
          <w:rFonts w:ascii="微软雅黑" w:eastAsia="微软雅黑" w:hAnsi="微软雅黑" w:cs="宋体" w:hint="eastAsia"/>
          <w:color w:val="000000"/>
          <w:kern w:val="0"/>
          <w:sz w:val="27"/>
          <w:szCs w:val="27"/>
          <w:bdr w:val="none" w:sz="0" w:space="0" w:color="auto" w:frame="1"/>
        </w:rPr>
        <w:t>）、甲烷（CH</w:t>
      </w:r>
      <w:r w:rsidRPr="0036132B">
        <w:rPr>
          <w:rFonts w:ascii="微软雅黑" w:eastAsia="微软雅黑" w:hAnsi="微软雅黑" w:cs="宋体" w:hint="eastAsia"/>
          <w:color w:val="000000"/>
          <w:kern w:val="0"/>
          <w:sz w:val="27"/>
          <w:szCs w:val="27"/>
          <w:bdr w:val="none" w:sz="0" w:space="0" w:color="auto" w:frame="1"/>
          <w:vertAlign w:val="subscript"/>
        </w:rPr>
        <w:t>4</w:t>
      </w:r>
      <w:r w:rsidRPr="0036132B">
        <w:rPr>
          <w:rFonts w:ascii="微软雅黑" w:eastAsia="微软雅黑" w:hAnsi="微软雅黑" w:cs="宋体" w:hint="eastAsia"/>
          <w:color w:val="000000"/>
          <w:kern w:val="0"/>
          <w:sz w:val="27"/>
          <w:szCs w:val="27"/>
          <w:bdr w:val="none" w:sz="0" w:space="0" w:color="auto" w:frame="1"/>
        </w:rPr>
        <w:t>）、氧化亚氮（N</w:t>
      </w:r>
      <w:r w:rsidRPr="0036132B">
        <w:rPr>
          <w:rFonts w:ascii="微软雅黑" w:eastAsia="微软雅黑" w:hAnsi="微软雅黑" w:cs="宋体" w:hint="eastAsia"/>
          <w:color w:val="000000"/>
          <w:kern w:val="0"/>
          <w:sz w:val="27"/>
          <w:szCs w:val="27"/>
          <w:bdr w:val="none" w:sz="0" w:space="0" w:color="auto" w:frame="1"/>
          <w:vertAlign w:val="subscript"/>
        </w:rPr>
        <w:t>2</w:t>
      </w:r>
      <w:r w:rsidRPr="0036132B">
        <w:rPr>
          <w:rFonts w:ascii="微软雅黑" w:eastAsia="微软雅黑" w:hAnsi="微软雅黑" w:cs="宋体" w:hint="eastAsia"/>
          <w:color w:val="000000"/>
          <w:kern w:val="0"/>
          <w:sz w:val="27"/>
          <w:szCs w:val="27"/>
          <w:bdr w:val="none" w:sz="0" w:space="0" w:color="auto" w:frame="1"/>
        </w:rPr>
        <w:t>O）、氢氟碳化物（HFCs）、全氟化碳（PFCs）、六氟化硫（SF</w:t>
      </w:r>
      <w:r w:rsidRPr="0036132B">
        <w:rPr>
          <w:rFonts w:ascii="微软雅黑" w:eastAsia="微软雅黑" w:hAnsi="微软雅黑" w:cs="宋体" w:hint="eastAsia"/>
          <w:color w:val="000000"/>
          <w:kern w:val="0"/>
          <w:sz w:val="27"/>
          <w:szCs w:val="27"/>
          <w:bdr w:val="none" w:sz="0" w:space="0" w:color="auto" w:frame="1"/>
          <w:vertAlign w:val="subscript"/>
        </w:rPr>
        <w:t>6</w:t>
      </w:r>
      <w:r w:rsidRPr="0036132B">
        <w:rPr>
          <w:rFonts w:ascii="微软雅黑" w:eastAsia="微软雅黑" w:hAnsi="微软雅黑" w:cs="宋体" w:hint="eastAsia"/>
          <w:color w:val="000000"/>
          <w:kern w:val="0"/>
          <w:sz w:val="27"/>
          <w:szCs w:val="27"/>
          <w:bdr w:val="none" w:sz="0" w:space="0" w:color="auto" w:frame="1"/>
        </w:rPr>
        <w:t>）和三氟化氮（NF</w:t>
      </w:r>
      <w:r w:rsidRPr="0036132B">
        <w:rPr>
          <w:rFonts w:ascii="微软雅黑" w:eastAsia="微软雅黑" w:hAnsi="微软雅黑" w:cs="宋体" w:hint="eastAsia"/>
          <w:color w:val="000000"/>
          <w:kern w:val="0"/>
          <w:sz w:val="27"/>
          <w:szCs w:val="27"/>
          <w:bdr w:val="none" w:sz="0" w:space="0" w:color="auto" w:frame="1"/>
          <w:vertAlign w:val="subscript"/>
        </w:rPr>
        <w:t>3</w:t>
      </w:r>
      <w:r w:rsidRPr="0036132B">
        <w:rPr>
          <w:rFonts w:ascii="微软雅黑" w:eastAsia="微软雅黑" w:hAnsi="微软雅黑" w:cs="宋体" w:hint="eastAsia"/>
          <w:color w:val="000000"/>
          <w:kern w:val="0"/>
          <w:sz w:val="27"/>
          <w:szCs w:val="27"/>
          <w:bdr w:val="none" w:sz="0" w:space="0" w:color="auto" w:frame="1"/>
        </w:rPr>
        <w:t>）。</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（二）碳排放：是指煤炭、石油、天然气等化石能源燃烧活动和工业生产过程以及土地利用变化与林业等活动产生的温室气体排放，也包括因使用外购的电力和热力等所导致的温室气体排放。</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（三）</w:t>
      </w:r>
      <w:proofErr w:type="gramStart"/>
      <w:r w:rsidRPr="0036132B">
        <w:rPr>
          <w:rFonts w:ascii="微软雅黑" w:eastAsia="微软雅黑" w:hAnsi="微软雅黑" w:cs="宋体" w:hint="eastAsia"/>
          <w:color w:val="000000"/>
          <w:kern w:val="0"/>
          <w:sz w:val="27"/>
          <w:szCs w:val="27"/>
          <w:bdr w:val="none" w:sz="0" w:space="0" w:color="auto" w:frame="1"/>
        </w:rPr>
        <w:t>碳排放权</w:t>
      </w:r>
      <w:proofErr w:type="gramEnd"/>
      <w:r w:rsidRPr="0036132B">
        <w:rPr>
          <w:rFonts w:ascii="微软雅黑" w:eastAsia="微软雅黑" w:hAnsi="微软雅黑" w:cs="宋体" w:hint="eastAsia"/>
          <w:color w:val="000000"/>
          <w:kern w:val="0"/>
          <w:sz w:val="27"/>
          <w:szCs w:val="27"/>
          <w:bdr w:val="none" w:sz="0" w:space="0" w:color="auto" w:frame="1"/>
        </w:rPr>
        <w:t>：是指分配给重点排放单位的规定时期内的碳排放额度。</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color w:val="000000"/>
          <w:kern w:val="0"/>
          <w:sz w:val="27"/>
          <w:szCs w:val="27"/>
          <w:bdr w:val="none" w:sz="0" w:space="0" w:color="auto" w:frame="1"/>
        </w:rPr>
        <w:t>（四）国家核证自愿减排量：是指对我国境内可再生能源、林业碳汇、甲烷利用等项目的温室气体减排效果进行量化核证，并在国家温室气体自愿减</w:t>
      </w:r>
      <w:proofErr w:type="gramStart"/>
      <w:r w:rsidRPr="0036132B">
        <w:rPr>
          <w:rFonts w:ascii="微软雅黑" w:eastAsia="微软雅黑" w:hAnsi="微软雅黑" w:cs="宋体" w:hint="eastAsia"/>
          <w:color w:val="000000"/>
          <w:kern w:val="0"/>
          <w:sz w:val="27"/>
          <w:szCs w:val="27"/>
          <w:bdr w:val="none" w:sz="0" w:space="0" w:color="auto" w:frame="1"/>
        </w:rPr>
        <w:t>排交易</w:t>
      </w:r>
      <w:proofErr w:type="gramEnd"/>
      <w:r w:rsidRPr="0036132B">
        <w:rPr>
          <w:rFonts w:ascii="微软雅黑" w:eastAsia="微软雅黑" w:hAnsi="微软雅黑" w:cs="宋体" w:hint="eastAsia"/>
          <w:color w:val="000000"/>
          <w:kern w:val="0"/>
          <w:sz w:val="27"/>
          <w:szCs w:val="27"/>
          <w:bdr w:val="none" w:sz="0" w:space="0" w:color="auto" w:frame="1"/>
        </w:rPr>
        <w:t>注册登记系统中登记的温室气体减排量。</w:t>
      </w:r>
    </w:p>
    <w:p w:rsidR="0036132B" w:rsidRPr="0036132B" w:rsidRDefault="0036132B" w:rsidP="0036132B">
      <w:pPr>
        <w:widowControl/>
        <w:shd w:val="clear" w:color="auto" w:fill="FFFFFF"/>
        <w:spacing w:line="540" w:lineRule="atLeast"/>
        <w:jc w:val="left"/>
        <w:rPr>
          <w:rFonts w:ascii="微软雅黑" w:eastAsia="微软雅黑" w:hAnsi="微软雅黑" w:cs="宋体" w:hint="eastAsia"/>
          <w:color w:val="000000"/>
          <w:kern w:val="0"/>
          <w:sz w:val="27"/>
          <w:szCs w:val="27"/>
        </w:rPr>
      </w:pPr>
      <w:r w:rsidRPr="0036132B">
        <w:rPr>
          <w:rFonts w:ascii="微软雅黑" w:eastAsia="微软雅黑" w:hAnsi="微软雅黑" w:cs="宋体" w:hint="eastAsia"/>
          <w:color w:val="000000"/>
          <w:kern w:val="0"/>
          <w:sz w:val="27"/>
          <w:szCs w:val="27"/>
        </w:rPr>
        <w:t xml:space="preserve">　　</w:t>
      </w:r>
      <w:r w:rsidRPr="0036132B">
        <w:rPr>
          <w:rFonts w:ascii="微软雅黑" w:eastAsia="微软雅黑" w:hAnsi="微软雅黑" w:cs="宋体" w:hint="eastAsia"/>
          <w:b/>
          <w:bCs/>
          <w:color w:val="000000"/>
          <w:kern w:val="0"/>
          <w:sz w:val="27"/>
          <w:szCs w:val="27"/>
          <w:bdr w:val="none" w:sz="0" w:space="0" w:color="auto" w:frame="1"/>
        </w:rPr>
        <w:t>第四十三条</w:t>
      </w:r>
      <w:r w:rsidRPr="0036132B">
        <w:rPr>
          <w:rFonts w:ascii="微软雅黑" w:eastAsia="微软雅黑" w:hAnsi="微软雅黑" w:cs="宋体" w:hint="eastAsia"/>
          <w:color w:val="000000"/>
          <w:kern w:val="0"/>
          <w:sz w:val="27"/>
          <w:szCs w:val="27"/>
        </w:rPr>
        <w:t>  </w:t>
      </w:r>
      <w:r w:rsidRPr="0036132B">
        <w:rPr>
          <w:rFonts w:ascii="微软雅黑" w:eastAsia="微软雅黑" w:hAnsi="微软雅黑" w:cs="宋体" w:hint="eastAsia"/>
          <w:color w:val="000000"/>
          <w:kern w:val="0"/>
          <w:sz w:val="27"/>
          <w:szCs w:val="27"/>
          <w:bdr w:val="none" w:sz="0" w:space="0" w:color="auto" w:frame="1"/>
        </w:rPr>
        <w:t>本办法自2021年2月1日起施行。 </w:t>
      </w:r>
    </w:p>
    <w:p w:rsidR="00D8148E" w:rsidRPr="0036132B" w:rsidRDefault="00D8148E">
      <w:pPr>
        <w:rPr>
          <w:rFonts w:hint="eastAsia"/>
        </w:rPr>
      </w:pPr>
    </w:p>
    <w:sectPr w:rsidR="00D8148E" w:rsidRPr="003613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B12F1"/>
    <w:multiLevelType w:val="multilevel"/>
    <w:tmpl w:val="C27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2B"/>
    <w:rsid w:val="0036132B"/>
    <w:rsid w:val="00765F1C"/>
    <w:rsid w:val="008B1A76"/>
    <w:rsid w:val="00D8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paragraph" w:styleId="1">
    <w:name w:val="heading 1"/>
    <w:basedOn w:val="a"/>
    <w:link w:val="1Char"/>
    <w:uiPriority w:val="9"/>
    <w:qFormat/>
    <w:rsid w:val="003613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character" w:customStyle="1" w:styleId="1Char">
    <w:name w:val="标题 1 Char"/>
    <w:basedOn w:val="a0"/>
    <w:link w:val="1"/>
    <w:uiPriority w:val="9"/>
    <w:rsid w:val="0036132B"/>
    <w:rPr>
      <w:rFonts w:ascii="宋体" w:eastAsia="宋体" w:hAnsi="宋体" w:cs="宋体"/>
      <w:b/>
      <w:bCs/>
      <w:kern w:val="36"/>
      <w:sz w:val="48"/>
      <w:szCs w:val="48"/>
    </w:rPr>
  </w:style>
  <w:style w:type="paragraph" w:styleId="a5">
    <w:name w:val="Normal (Web)"/>
    <w:basedOn w:val="a"/>
    <w:uiPriority w:val="99"/>
    <w:semiHidden/>
    <w:unhideWhenUsed/>
    <w:rsid w:val="0036132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1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paragraph" w:styleId="1">
    <w:name w:val="heading 1"/>
    <w:basedOn w:val="a"/>
    <w:link w:val="1Char"/>
    <w:uiPriority w:val="9"/>
    <w:qFormat/>
    <w:rsid w:val="003613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character" w:customStyle="1" w:styleId="1Char">
    <w:name w:val="标题 1 Char"/>
    <w:basedOn w:val="a0"/>
    <w:link w:val="1"/>
    <w:uiPriority w:val="9"/>
    <w:rsid w:val="0036132B"/>
    <w:rPr>
      <w:rFonts w:ascii="宋体" w:eastAsia="宋体" w:hAnsi="宋体" w:cs="宋体"/>
      <w:b/>
      <w:bCs/>
      <w:kern w:val="36"/>
      <w:sz w:val="48"/>
      <w:szCs w:val="48"/>
    </w:rPr>
  </w:style>
  <w:style w:type="paragraph" w:styleId="a5">
    <w:name w:val="Normal (Web)"/>
    <w:basedOn w:val="a"/>
    <w:uiPriority w:val="99"/>
    <w:semiHidden/>
    <w:unhideWhenUsed/>
    <w:rsid w:val="0036132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9703">
      <w:bodyDiv w:val="1"/>
      <w:marLeft w:val="0"/>
      <w:marRight w:val="0"/>
      <w:marTop w:val="0"/>
      <w:marBottom w:val="0"/>
      <w:divBdr>
        <w:top w:val="none" w:sz="0" w:space="0" w:color="auto"/>
        <w:left w:val="none" w:sz="0" w:space="0" w:color="auto"/>
        <w:bottom w:val="none" w:sz="0" w:space="0" w:color="auto"/>
        <w:right w:val="none" w:sz="0" w:space="0" w:color="auto"/>
      </w:divBdr>
      <w:divsChild>
        <w:div w:id="866409344">
          <w:marLeft w:val="0"/>
          <w:marRight w:val="0"/>
          <w:marTop w:val="0"/>
          <w:marBottom w:val="0"/>
          <w:divBdr>
            <w:top w:val="none" w:sz="0" w:space="0" w:color="auto"/>
            <w:left w:val="none" w:sz="0" w:space="0" w:color="auto"/>
            <w:bottom w:val="none" w:sz="0" w:space="0" w:color="auto"/>
            <w:right w:val="none" w:sz="0" w:space="0" w:color="auto"/>
          </w:divBdr>
          <w:divsChild>
            <w:div w:id="927034941">
              <w:marLeft w:val="0"/>
              <w:marRight w:val="0"/>
              <w:marTop w:val="0"/>
              <w:marBottom w:val="0"/>
              <w:divBdr>
                <w:top w:val="none" w:sz="0" w:space="0" w:color="auto"/>
                <w:left w:val="none" w:sz="0" w:space="0" w:color="auto"/>
                <w:bottom w:val="none" w:sz="0" w:space="0" w:color="auto"/>
                <w:right w:val="none" w:sz="0" w:space="0" w:color="auto"/>
              </w:divBdr>
              <w:divsChild>
                <w:div w:id="1105659442">
                  <w:marLeft w:val="0"/>
                  <w:marRight w:val="0"/>
                  <w:marTop w:val="0"/>
                  <w:marBottom w:val="0"/>
                  <w:divBdr>
                    <w:top w:val="single" w:sz="6" w:space="8" w:color="F2F2F2"/>
                    <w:left w:val="single" w:sz="6" w:space="14" w:color="F2F2F2"/>
                    <w:bottom w:val="single" w:sz="6" w:space="8" w:color="F2F2F2"/>
                    <w:right w:val="single" w:sz="6" w:space="14" w:color="F2F2F2"/>
                  </w:divBdr>
                  <w:divsChild>
                    <w:div w:id="448087415">
                      <w:marLeft w:val="0"/>
                      <w:marRight w:val="0"/>
                      <w:marTop w:val="0"/>
                      <w:marBottom w:val="0"/>
                      <w:divBdr>
                        <w:top w:val="none" w:sz="0" w:space="0" w:color="auto"/>
                        <w:left w:val="none" w:sz="0" w:space="0" w:color="auto"/>
                        <w:bottom w:val="none" w:sz="0" w:space="0" w:color="auto"/>
                        <w:right w:val="none" w:sz="0" w:space="0" w:color="auto"/>
                      </w:divBdr>
                    </w:div>
                    <w:div w:id="2017731684">
                      <w:marLeft w:val="0"/>
                      <w:marRight w:val="0"/>
                      <w:marTop w:val="0"/>
                      <w:marBottom w:val="0"/>
                      <w:divBdr>
                        <w:top w:val="none" w:sz="0" w:space="0" w:color="auto"/>
                        <w:left w:val="none" w:sz="0" w:space="0" w:color="auto"/>
                        <w:bottom w:val="none" w:sz="0" w:space="0" w:color="auto"/>
                        <w:right w:val="none" w:sz="0" w:space="0" w:color="auto"/>
                      </w:divBdr>
                    </w:div>
                    <w:div w:id="278607013">
                      <w:marLeft w:val="0"/>
                      <w:marRight w:val="0"/>
                      <w:marTop w:val="0"/>
                      <w:marBottom w:val="0"/>
                      <w:divBdr>
                        <w:top w:val="none" w:sz="0" w:space="0" w:color="auto"/>
                        <w:left w:val="none" w:sz="0" w:space="0" w:color="auto"/>
                        <w:bottom w:val="none" w:sz="0" w:space="0" w:color="auto"/>
                        <w:right w:val="none" w:sz="0" w:space="0" w:color="auto"/>
                      </w:divBdr>
                    </w:div>
                    <w:div w:id="1211651762">
                      <w:marLeft w:val="0"/>
                      <w:marRight w:val="0"/>
                      <w:marTop w:val="0"/>
                      <w:marBottom w:val="0"/>
                      <w:divBdr>
                        <w:top w:val="none" w:sz="0" w:space="0" w:color="auto"/>
                        <w:left w:val="none" w:sz="0" w:space="0" w:color="auto"/>
                        <w:bottom w:val="none" w:sz="0" w:space="0" w:color="auto"/>
                        <w:right w:val="none" w:sz="0" w:space="0" w:color="auto"/>
                      </w:divBdr>
                    </w:div>
                    <w:div w:id="2117827457">
                      <w:marLeft w:val="0"/>
                      <w:marRight w:val="0"/>
                      <w:marTop w:val="0"/>
                      <w:marBottom w:val="0"/>
                      <w:divBdr>
                        <w:top w:val="none" w:sz="0" w:space="0" w:color="auto"/>
                        <w:left w:val="none" w:sz="0" w:space="0" w:color="auto"/>
                        <w:bottom w:val="none" w:sz="0" w:space="0" w:color="auto"/>
                        <w:right w:val="none" w:sz="0" w:space="0" w:color="auto"/>
                      </w:divBdr>
                    </w:div>
                    <w:div w:id="907694109">
                      <w:marLeft w:val="0"/>
                      <w:marRight w:val="0"/>
                      <w:marTop w:val="0"/>
                      <w:marBottom w:val="0"/>
                      <w:divBdr>
                        <w:top w:val="none" w:sz="0" w:space="0" w:color="auto"/>
                        <w:left w:val="none" w:sz="0" w:space="0" w:color="auto"/>
                        <w:bottom w:val="none" w:sz="0" w:space="0" w:color="auto"/>
                        <w:right w:val="none" w:sz="0" w:space="0" w:color="auto"/>
                      </w:divBdr>
                    </w:div>
                    <w:div w:id="2999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1570">
          <w:marLeft w:val="0"/>
          <w:marRight w:val="0"/>
          <w:marTop w:val="0"/>
          <w:marBottom w:val="0"/>
          <w:divBdr>
            <w:top w:val="none" w:sz="0" w:space="0" w:color="auto"/>
            <w:left w:val="none" w:sz="0" w:space="0" w:color="auto"/>
            <w:bottom w:val="none" w:sz="0" w:space="0" w:color="auto"/>
            <w:right w:val="none" w:sz="0" w:space="0" w:color="auto"/>
          </w:divBdr>
          <w:divsChild>
            <w:div w:id="284120871">
              <w:marLeft w:val="0"/>
              <w:marRight w:val="0"/>
              <w:marTop w:val="0"/>
              <w:marBottom w:val="0"/>
              <w:divBdr>
                <w:top w:val="none" w:sz="0" w:space="0" w:color="auto"/>
                <w:left w:val="none" w:sz="0" w:space="0" w:color="auto"/>
                <w:bottom w:val="none" w:sz="0" w:space="0" w:color="auto"/>
                <w:right w:val="none" w:sz="0" w:space="0" w:color="auto"/>
              </w:divBdr>
              <w:divsChild>
                <w:div w:id="973946651">
                  <w:marLeft w:val="0"/>
                  <w:marRight w:val="0"/>
                  <w:marTop w:val="0"/>
                  <w:marBottom w:val="0"/>
                  <w:divBdr>
                    <w:top w:val="single" w:sz="6" w:space="23" w:color="E8E8E8"/>
                    <w:left w:val="single" w:sz="6" w:space="30" w:color="E8E8E8"/>
                    <w:bottom w:val="single" w:sz="6" w:space="23" w:color="E8E8E8"/>
                    <w:right w:val="single" w:sz="6" w:space="30" w:color="E8E8E8"/>
                  </w:divBdr>
                  <w:divsChild>
                    <w:div w:id="1897350320">
                      <w:marLeft w:val="0"/>
                      <w:marRight w:val="0"/>
                      <w:marTop w:val="0"/>
                      <w:marBottom w:val="0"/>
                      <w:divBdr>
                        <w:top w:val="none" w:sz="0" w:space="0" w:color="auto"/>
                        <w:left w:val="none" w:sz="0" w:space="0" w:color="auto"/>
                        <w:bottom w:val="none" w:sz="0" w:space="0" w:color="auto"/>
                        <w:right w:val="none" w:sz="0" w:space="0" w:color="auto"/>
                      </w:divBdr>
                      <w:divsChild>
                        <w:div w:id="1893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王淼</dc:creator>
  <cp:lastModifiedBy>王淼</cp:lastModifiedBy>
  <cp:revision>1</cp:revision>
  <dcterms:created xsi:type="dcterms:W3CDTF">2021-01-06T00:00:00Z</dcterms:created>
  <dcterms:modified xsi:type="dcterms:W3CDTF">2021-01-06T00:01:00Z</dcterms:modified>
</cp:coreProperties>
</file>